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b w:val="1"/>
          <w:smallCaps w:val="0"/>
          <w:sz w:val="26"/>
          <w:szCs w:val="26"/>
        </w:rPr>
      </w:pPr>
      <w:r w:rsidDel="00000000" w:rsidR="00000000" w:rsidRPr="00000000">
        <w:rPr>
          <w:b w:val="1"/>
          <w:smallCaps w:val="0"/>
          <w:sz w:val="26"/>
          <w:szCs w:val="26"/>
          <w:rtl w:val="0"/>
        </w:rPr>
        <w:t xml:space="preserve">DG Just – Euroopan unionin perusoikeuskirja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b w:val="1"/>
          <w:smallCaps w:val="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mallCaps w:val="0"/>
          <w:sz w:val="24"/>
          <w:szCs w:val="24"/>
          <w:rtl w:val="0"/>
        </w:rPr>
        <w:t xml:space="preserve">Perusoikeuskirjan oikeuksien vaatiminen 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Euroopan unionin perusoikeuskirja on apunasi aina kun tarvitset sitä.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Lue lisää oikeuksiesi vaatimisesta tai neuvonnan saamisesta Euroopan unionin perusoikeuskirjan sivustolta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https://right-here-right-now.campaign.europa.eu/index_fi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Rule="auto"/>
    </w:pPr>
    <w:rPr>
      <w:smallCaps w:val="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Rule="auto"/>
    </w:pPr>
    <w:rPr>
      <w:smallCap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Rule="auto"/>
    </w:pPr>
    <w:rPr>
      <w:smallCap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Rule="auto"/>
    </w:pPr>
    <w:rPr>
      <w:smallCaps w:val="0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Rule="auto"/>
    </w:pPr>
    <w:rPr>
      <w:smallCaps w:val="0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Rule="auto"/>
    </w:pPr>
    <w:rPr>
      <w:i w:val="1"/>
      <w:smallCaps w:val="0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</w:pPr>
    <w:rPr>
      <w:smallCaps w:val="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lineRule="auto"/>
    </w:pPr>
    <w:rPr>
      <w:smallCap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ight-here-right-now.campaign.europa.eu/index_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